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0D399D5A" w:rsidR="002B1453" w:rsidRPr="001B7441" w:rsidRDefault="00A74A38"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 xml:space="preserve">CYGNET </w:t>
      </w:r>
      <w:proofErr w:type="spellStart"/>
      <w:r>
        <w:rPr>
          <w:rStyle w:val="Strong"/>
          <w:rFonts w:ascii="Century Gothic" w:hAnsi="Century Gothic" w:cs="Times New Roman"/>
          <w:color w:val="auto"/>
        </w:rPr>
        <w:t>Nield</w:t>
      </w:r>
      <w:proofErr w:type="spellEnd"/>
      <w:r>
        <w:rPr>
          <w:rStyle w:val="Strong"/>
          <w:rFonts w:ascii="Century Gothic" w:hAnsi="Century Gothic" w:cs="Times New Roman"/>
          <w:color w:val="auto"/>
        </w:rPr>
        <w:t xml:space="preserve"> House </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sidRPr="00472864">
              <w:rPr>
                <w:rStyle w:val="Strong"/>
                <w:rFonts w:ascii="Century Gothic" w:hAnsi="Century Gothic"/>
                <w:b w:val="0"/>
                <w:color w:val="auto"/>
                <w:szCs w:val="22"/>
              </w:rPr>
              <w:t xml:space="preserve">Specialist </w:t>
            </w:r>
            <w:r w:rsidR="007D6D8D" w:rsidRPr="00472864">
              <w:rPr>
                <w:rStyle w:val="Strong"/>
                <w:rFonts w:ascii="Century Gothic" w:hAnsi="Century Gothic"/>
                <w:b w:val="0"/>
                <w:color w:val="auto"/>
                <w:szCs w:val="22"/>
              </w:rPr>
              <w:t>Occupational Therapist</w:t>
            </w:r>
            <w:r w:rsidR="005B5051" w:rsidRPr="00472864">
              <w:rPr>
                <w:rStyle w:val="Strong"/>
                <w:rFonts w:ascii="Century Gothic" w:hAnsi="Century Gothic"/>
                <w:b w:val="0"/>
                <w:color w:val="auto"/>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3C264135" w:rsidR="007D6D8D" w:rsidRPr="007D6D8D" w:rsidRDefault="00472864" w:rsidP="007D6D8D">
            <w:pPr>
              <w:pStyle w:val="NormalWeb"/>
              <w:spacing w:before="0" w:beforeAutospacing="0" w:after="0" w:afterAutospacing="0"/>
              <w:jc w:val="both"/>
              <w:rPr>
                <w:rStyle w:val="Strong"/>
                <w:rFonts w:ascii="Century Gothic" w:hAnsi="Century Gothic"/>
                <w:b w:val="0"/>
                <w:color w:val="auto"/>
                <w:sz w:val="22"/>
                <w:szCs w:val="22"/>
              </w:rPr>
            </w:pPr>
            <w:r w:rsidRPr="00472864">
              <w:rPr>
                <w:rStyle w:val="Strong"/>
                <w:rFonts w:ascii="Century Gothic" w:hAnsi="Century Gothic"/>
                <w:b w:val="0"/>
                <w:color w:val="auto"/>
                <w:szCs w:val="22"/>
              </w:rPr>
              <w:t>40 hours</w:t>
            </w:r>
            <w:r w:rsidR="007D6D8D" w:rsidRPr="00472864">
              <w:rPr>
                <w:rStyle w:val="Strong"/>
                <w:rFonts w:ascii="Century Gothic" w:hAnsi="Century Gothic"/>
                <w:b w:val="0"/>
                <w:color w:val="auto"/>
                <w:szCs w:val="22"/>
              </w:rPr>
              <w:t xml:space="preserve"> 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472864">
              <w:rPr>
                <w:rStyle w:val="Strong"/>
                <w:rFonts w:ascii="Century Gothic" w:hAnsi="Century Gothic"/>
                <w:b w:val="0"/>
                <w:color w:val="auto"/>
                <w:szCs w:val="22"/>
              </w:rPr>
              <w:t>Occupational Therapy</w:t>
            </w:r>
            <w:bookmarkStart w:id="0" w:name="_GoBack"/>
            <w:bookmarkEnd w:id="0"/>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Pr="00472864" w:rsidRDefault="00CD5B2C" w:rsidP="005B5051">
            <w:pPr>
              <w:pStyle w:val="NormalWeb"/>
              <w:spacing w:before="0" w:beforeAutospacing="0" w:after="0" w:afterAutospacing="0"/>
              <w:jc w:val="both"/>
              <w:rPr>
                <w:rFonts w:ascii="Century Gothic" w:hAnsi="Century Gothic" w:cs="Times New Roman"/>
                <w:color w:val="auto"/>
                <w:szCs w:val="22"/>
              </w:rPr>
            </w:pPr>
            <w:r w:rsidRPr="00472864">
              <w:rPr>
                <w:rFonts w:ascii="Century Gothic" w:hAnsi="Century Gothic" w:cs="Times New Roman"/>
                <w:color w:val="auto"/>
                <w:szCs w:val="22"/>
              </w:rPr>
              <w:t>Hospital/Service Manager</w:t>
            </w:r>
          </w:p>
          <w:p w14:paraId="2DF0155D" w14:textId="1051FECF" w:rsidR="00D377EE" w:rsidRPr="007D6D8D"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rPr>
            </w:pPr>
            <w:r w:rsidRPr="00472864">
              <w:rPr>
                <w:rFonts w:ascii="Century Gothic" w:hAnsi="Century Gothic" w:cs="Times New Roman"/>
                <w:color w:val="auto"/>
                <w:szCs w:val="22"/>
              </w:rPr>
              <w:t xml:space="preserve">Head OT; Clinical Lead OT; </w:t>
            </w:r>
            <w:r w:rsidR="005B5051" w:rsidRPr="00472864">
              <w:rPr>
                <w:rFonts w:ascii="Century Gothic" w:hAnsi="Century Gothic" w:cs="Times New Roman"/>
                <w:color w:val="auto"/>
                <w:szCs w:val="22"/>
              </w:rPr>
              <w:t>Regional Director of OT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414DA1F8" w:rsidR="00B67015" w:rsidRPr="00472864" w:rsidRDefault="007D6D8D" w:rsidP="00472864">
            <w:pPr>
              <w:pStyle w:val="NormalWeb"/>
              <w:spacing w:before="0" w:beforeAutospacing="0" w:after="0" w:afterAutospacing="0"/>
              <w:jc w:val="both"/>
              <w:rPr>
                <w:rStyle w:val="Strong"/>
                <w:rFonts w:ascii="Century Gothic" w:hAnsi="Century Gothic" w:cs="Times New Roman"/>
                <w:b w:val="0"/>
                <w:color w:val="auto"/>
                <w:sz w:val="22"/>
                <w:szCs w:val="22"/>
              </w:rPr>
            </w:pPr>
            <w:r w:rsidRPr="00472864">
              <w:rPr>
                <w:rStyle w:val="Strong"/>
                <w:rFonts w:ascii="Century Gothic" w:hAnsi="Century Gothic"/>
                <w:b w:val="0"/>
                <w:color w:val="auto"/>
                <w:szCs w:val="22"/>
              </w:rPr>
              <w:t xml:space="preserve">Delivery of Occupational Therapy within </w:t>
            </w:r>
            <w:r w:rsidR="00472864" w:rsidRPr="00472864">
              <w:rPr>
                <w:rFonts w:ascii="Century Gothic" w:hAnsi="Century Gothic"/>
                <w:color w:val="auto"/>
                <w:szCs w:val="22"/>
              </w:rPr>
              <w:t xml:space="preserve">Cygnet </w:t>
            </w:r>
            <w:proofErr w:type="spellStart"/>
            <w:r w:rsidR="00472864" w:rsidRPr="00472864">
              <w:rPr>
                <w:rFonts w:ascii="Century Gothic" w:hAnsi="Century Gothic"/>
                <w:color w:val="auto"/>
                <w:szCs w:val="22"/>
              </w:rPr>
              <w:t>Nield</w:t>
            </w:r>
            <w:proofErr w:type="spellEnd"/>
            <w:r w:rsidR="00472864" w:rsidRPr="00472864">
              <w:rPr>
                <w:rFonts w:ascii="Century Gothic" w:hAnsi="Century Gothic"/>
                <w:color w:val="auto"/>
                <w:szCs w:val="22"/>
              </w:rPr>
              <w:t xml:space="preserve"> House</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w:t>
            </w:r>
            <w:r w:rsidR="00DD41D8" w:rsidRPr="004057B5">
              <w:rPr>
                <w:rFonts w:eastAsia="Calibri" w:cs="Calibri"/>
                <w:sz w:val="18"/>
                <w:szCs w:val="18"/>
              </w:rPr>
              <w:t>rganise</w:t>
            </w:r>
            <w:proofErr w:type="spellEnd"/>
            <w:r w:rsidR="00DD41D8"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w:t>
            </w:r>
            <w:proofErr w:type="spellStart"/>
            <w:r w:rsidR="007D6D8D" w:rsidRPr="004057B5">
              <w:rPr>
                <w:color w:val="auto"/>
                <w:sz w:val="18"/>
                <w:szCs w:val="18"/>
              </w:rPr>
              <w:t>prioritise</w:t>
            </w:r>
            <w:proofErr w:type="spellEnd"/>
            <w:r w:rsidR="007D6D8D" w:rsidRPr="004057B5">
              <w:rPr>
                <w:color w:val="auto"/>
                <w:sz w:val="18"/>
                <w:szCs w:val="18"/>
              </w:rPr>
              <w:t xml:space="preserv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w:t>
            </w:r>
            <w:proofErr w:type="spellStart"/>
            <w:r w:rsidR="007D6D8D" w:rsidRPr="004057B5">
              <w:rPr>
                <w:sz w:val="18"/>
                <w:szCs w:val="18"/>
              </w:rPr>
              <w:t>centred</w:t>
            </w:r>
            <w:proofErr w:type="spellEnd"/>
            <w:r w:rsidR="007D6D8D" w:rsidRPr="004057B5">
              <w:rPr>
                <w:sz w:val="18"/>
                <w:szCs w:val="18"/>
              </w:rPr>
              <w:t xml:space="preserve">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580E6733"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472864">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1C4F"/>
    <w:rsid w:val="003E6F42"/>
    <w:rsid w:val="004057B5"/>
    <w:rsid w:val="00414FE0"/>
    <w:rsid w:val="00424E2D"/>
    <w:rsid w:val="00435109"/>
    <w:rsid w:val="00435E8C"/>
    <w:rsid w:val="00441632"/>
    <w:rsid w:val="004511AD"/>
    <w:rsid w:val="00465A77"/>
    <w:rsid w:val="00472864"/>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71519"/>
    <w:rsid w:val="00A74A38"/>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Megan Hicks</cp:lastModifiedBy>
  <cp:revision>3</cp:revision>
  <cp:lastPrinted>2019-01-23T09:31:00Z</cp:lastPrinted>
  <dcterms:created xsi:type="dcterms:W3CDTF">2024-04-23T10:28:00Z</dcterms:created>
  <dcterms:modified xsi:type="dcterms:W3CDTF">2024-04-23T10:30:00Z</dcterms:modified>
</cp:coreProperties>
</file>