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2753C9" w:rsidRDefault="00667C0E">
      <w:pPr>
        <w:spacing w:after="0" w:line="259" w:lineRule="auto"/>
        <w:ind w:left="0" w:firstLine="0"/>
        <w:jc w:val="right"/>
        <w:rPr>
          <w:color w:val="auto"/>
        </w:rPr>
      </w:pPr>
    </w:p>
    <w:p w:rsidR="002B1453" w:rsidRPr="002753C9" w:rsidRDefault="002B1453" w:rsidP="002B1453">
      <w:pPr>
        <w:pStyle w:val="NormalWeb"/>
        <w:spacing w:before="0" w:beforeAutospacing="0" w:after="0" w:afterAutospacing="0"/>
        <w:rPr>
          <w:rStyle w:val="Strong"/>
          <w:rFonts w:ascii="Century Gothic" w:hAnsi="Century Gothic" w:cs="Times New Roman"/>
          <w:color w:val="auto"/>
        </w:rPr>
      </w:pPr>
      <w:r w:rsidRPr="002753C9">
        <w:rPr>
          <w:rStyle w:val="Strong"/>
          <w:rFonts w:ascii="Century Gothic" w:hAnsi="Century Gothic" w:cs="Times New Roman"/>
          <w:color w:val="auto"/>
        </w:rPr>
        <w:t xml:space="preserve">CYGNET </w:t>
      </w:r>
      <w:r w:rsidR="002062F0">
        <w:rPr>
          <w:rStyle w:val="Strong"/>
          <w:rFonts w:ascii="Century Gothic" w:hAnsi="Century Gothic" w:cs="Times New Roman"/>
          <w:color w:val="auto"/>
        </w:rPr>
        <w:t>Wallace Hospital</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2753C9"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2753C9">
              <w:rPr>
                <w:rStyle w:val="Strong"/>
                <w:rFonts w:ascii="Century Gothic" w:hAnsi="Century Gothic" w:cs="Times New Roman"/>
                <w:color w:val="auto"/>
                <w:sz w:val="22"/>
                <w:szCs w:val="22"/>
              </w:rPr>
              <w:t>Hours of work:</w:t>
            </w:r>
          </w:p>
        </w:tc>
        <w:tc>
          <w:tcPr>
            <w:tcW w:w="6191" w:type="dxa"/>
          </w:tcPr>
          <w:p w:rsidR="007D6D8D" w:rsidRPr="002753C9" w:rsidRDefault="002753C9" w:rsidP="00361EA9">
            <w:pPr>
              <w:pStyle w:val="NormalWeb"/>
              <w:spacing w:before="0" w:beforeAutospacing="0" w:after="0" w:afterAutospacing="0"/>
              <w:jc w:val="both"/>
              <w:rPr>
                <w:rStyle w:val="Strong"/>
                <w:rFonts w:ascii="Century Gothic" w:hAnsi="Century Gothic"/>
                <w:b w:val="0"/>
                <w:color w:val="auto"/>
                <w:sz w:val="22"/>
                <w:szCs w:val="22"/>
              </w:rPr>
            </w:pPr>
            <w:r w:rsidRPr="002753C9">
              <w:rPr>
                <w:rStyle w:val="Strong"/>
                <w:rFonts w:ascii="Century Gothic" w:hAnsi="Century Gothic"/>
                <w:b w:val="0"/>
                <w:color w:val="auto"/>
                <w:sz w:val="22"/>
                <w:szCs w:val="22"/>
              </w:rPr>
              <w:t>40</w:t>
            </w:r>
            <w:r w:rsidR="007D6D8D" w:rsidRPr="002753C9">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2062F0">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EF242D" w:rsidP="00BD31E6">
                  <w:pPr>
                    <w:pStyle w:val="NormalWeb"/>
                    <w:spacing w:before="0" w:beforeAutospacing="0" w:after="0" w:afterAutospacing="0"/>
                    <w:ind w:left="-74"/>
                    <w:jc w:val="both"/>
                    <w:rPr>
                      <w:rStyle w:val="Strong"/>
                      <w:rFonts w:ascii="Century Gothic" w:hAnsi="Century Gothic"/>
                      <w:b w:val="0"/>
                      <w:color w:val="auto"/>
                      <w:sz w:val="22"/>
                      <w:szCs w:val="22"/>
                    </w:rPr>
                  </w:pPr>
                  <w:r>
                    <w:rPr>
                      <w:rFonts w:ascii="Century Gothic" w:hAnsi="Century Gothic" w:cs="Times New Roman"/>
                      <w:color w:val="auto"/>
                      <w:sz w:val="22"/>
                      <w:szCs w:val="22"/>
                    </w:rPr>
                    <w:t xml:space="preserve">Head OT, </w:t>
                  </w:r>
                  <w:r w:rsidR="002062F0" w:rsidRPr="002062F0">
                    <w:rPr>
                      <w:rFonts w:ascii="Century Gothic" w:hAnsi="Century Gothic" w:cs="Times New Roman"/>
                      <w:color w:val="auto"/>
                      <w:sz w:val="22"/>
                      <w:szCs w:val="22"/>
                    </w:rPr>
                    <w:t>Clinical Lead OT; Regional Lead OT &amp; Director of OT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2062F0" w:rsidP="008259AF">
            <w:pPr>
              <w:pStyle w:val="NormalWeb"/>
              <w:spacing w:before="0" w:beforeAutospacing="0" w:after="0" w:afterAutospacing="0"/>
              <w:jc w:val="both"/>
              <w:rPr>
                <w:rStyle w:val="Strong"/>
                <w:rFonts w:ascii="Century Gothic" w:hAnsi="Century Gothic" w:cs="Times New Roman"/>
                <w:b w:val="0"/>
                <w:color w:val="auto"/>
                <w:sz w:val="22"/>
                <w:szCs w:val="22"/>
              </w:rPr>
            </w:pPr>
            <w:r w:rsidRPr="002062F0">
              <w:rPr>
                <w:rStyle w:val="Strong"/>
                <w:rFonts w:ascii="Century Gothic" w:hAnsi="Century Gothic"/>
                <w:b w:val="0"/>
                <w:color w:val="auto"/>
                <w:sz w:val="22"/>
                <w:szCs w:val="22"/>
              </w:rPr>
              <w:t>Delivery of Occupational Therapy within Wallace Hospital</w:t>
            </w:r>
            <w:bookmarkStart w:id="0" w:name="_GoBack"/>
            <w:bookmarkEnd w:id="0"/>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002062F0">
                              <w:rPr>
                                <w:sz w:val="20"/>
                                <w:szCs w:val="20"/>
                              </w:rPr>
                              <w:t xml:space="preserve">Cygnet Wallace Hospital.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002062F0">
                        <w:rPr>
                          <w:sz w:val="20"/>
                          <w:szCs w:val="20"/>
                        </w:rPr>
                        <w:t xml:space="preserve">Cygnet Wallace Hospital.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lastRenderedPageBreak/>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lastRenderedPageBreak/>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lastRenderedPageBreak/>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lastRenderedPageBreak/>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lastRenderedPageBreak/>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lastRenderedPageBreak/>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lastRenderedPageBreak/>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F242D">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062F0"/>
    <w:rsid w:val="0022333C"/>
    <w:rsid w:val="00257EA9"/>
    <w:rsid w:val="00266FDE"/>
    <w:rsid w:val="00272448"/>
    <w:rsid w:val="002753C9"/>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EF242D"/>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F4976"/>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8636</Characters>
  <Application>Microsoft Office Word</Application>
  <DocSecurity>0</DocSecurity>
  <Lines>269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Victoria Wisniewski</cp:lastModifiedBy>
  <cp:revision>2</cp:revision>
  <cp:lastPrinted>2019-01-23T09:31:00Z</cp:lastPrinted>
  <dcterms:created xsi:type="dcterms:W3CDTF">2024-09-18T15:04:00Z</dcterms:created>
  <dcterms:modified xsi:type="dcterms:W3CDTF">2024-09-18T15:04:00Z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6cee9f44eb2db9691a062ab92c3c0f36a7e9f8503b7ab57196012360cee184cf</vt:lpwstr>
  </property>
</Properties>
</file>